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0CB" w:rsidRPr="00AB0D04" w:rsidRDefault="00C430CB" w:rsidP="00C430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D04">
        <w:rPr>
          <w:rFonts w:ascii="Times New Roman" w:hAnsi="Times New Roman" w:cs="Times New Roman"/>
          <w:b/>
          <w:bCs/>
          <w:sz w:val="24"/>
          <w:szCs w:val="24"/>
        </w:rPr>
        <w:t>Supplementary Data</w:t>
      </w:r>
    </w:p>
    <w:p w:rsidR="00C430CB" w:rsidRPr="00AB0D04" w:rsidRDefault="00C430CB" w:rsidP="00C430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2EA5" w:rsidRPr="00AB0D04" w:rsidRDefault="004D2EA5"/>
    <w:tbl>
      <w:tblPr>
        <w:tblW w:w="6948" w:type="dxa"/>
        <w:tblLayout w:type="fixed"/>
        <w:tblCellMar>
          <w:left w:w="0" w:type="dxa"/>
          <w:right w:w="0" w:type="dxa"/>
        </w:tblCellMar>
        <w:tblLook w:val="0420"/>
      </w:tblPr>
      <w:tblGrid>
        <w:gridCol w:w="2492"/>
        <w:gridCol w:w="3181"/>
        <w:gridCol w:w="1275"/>
      </w:tblGrid>
      <w:tr w:rsidR="004D2EA5" w:rsidRPr="00877E86" w:rsidTr="000D747D">
        <w:trPr>
          <w:trHeight w:val="20"/>
        </w:trPr>
        <w:tc>
          <w:tcPr>
            <w:tcW w:w="694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Suppl. Table 1: Cox proportional hazard models for all-cause mortality according to HCY and vitamin B6 quartiles</w:t>
            </w:r>
            <w:r w:rsidR="001C64FA"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in patients affected and non-affected by ACS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bookmarkStart w:id="0" w:name="_Hlk534901100"/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Quartiles</w:t>
            </w:r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Model 1</w:t>
            </w:r>
          </w:p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HR (95%)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P-Value</w:t>
            </w:r>
          </w:p>
        </w:tc>
      </w:tr>
      <w:tr w:rsidR="004D2EA5" w:rsidRPr="00877E86" w:rsidTr="000D747D">
        <w:trPr>
          <w:trHeight w:val="20"/>
        </w:trPr>
        <w:tc>
          <w:tcPr>
            <w:tcW w:w="6948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221C88" w:rsidP="004D2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ACS</w:t>
            </w:r>
            <w:r w:rsidR="004D2EA5" w:rsidRPr="00877E8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patients</w:t>
            </w:r>
            <w:r w:rsidR="00EA65A8" w:rsidRPr="00877E8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(n=1036)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HCY quartiles</w:t>
            </w:r>
          </w:p>
        </w:tc>
        <w:tc>
          <w:tcPr>
            <w:tcW w:w="3181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st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(&lt;9.8 µmol/L)</w:t>
            </w:r>
          </w:p>
        </w:tc>
        <w:tc>
          <w:tcPr>
            <w:tcW w:w="31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Ref.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nd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(9.9-12.4 µmol/L)</w:t>
            </w:r>
          </w:p>
        </w:tc>
        <w:tc>
          <w:tcPr>
            <w:tcW w:w="318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21C88" w:rsidRPr="00877E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C88" w:rsidRPr="00877E86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221C88" w:rsidRPr="00877E8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221C88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Cs/>
                <w:sz w:val="20"/>
                <w:szCs w:val="20"/>
              </w:rPr>
              <w:t>0.267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(12.5-15.5 µmol/L)</w:t>
            </w:r>
          </w:p>
        </w:tc>
        <w:tc>
          <w:tcPr>
            <w:tcW w:w="31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21C88" w:rsidRPr="00877E8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C88" w:rsidRPr="00877E86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70)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221C88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Cs/>
                <w:sz w:val="20"/>
                <w:szCs w:val="20"/>
              </w:rPr>
              <w:t>0.349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(&gt;15.6 µmol/L)</w:t>
            </w:r>
          </w:p>
        </w:tc>
        <w:tc>
          <w:tcPr>
            <w:tcW w:w="318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21C88" w:rsidRPr="00877E8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-2.</w:t>
            </w:r>
            <w:r w:rsidR="00221C88" w:rsidRPr="00877E8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0.001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sz w:val="20"/>
                <w:szCs w:val="20"/>
              </w:rPr>
              <w:t>Vitamin B6 quartiles</w:t>
            </w:r>
          </w:p>
        </w:tc>
        <w:tc>
          <w:tcPr>
            <w:tcW w:w="31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st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(&lt;5.6 µg/L)</w:t>
            </w:r>
          </w:p>
        </w:tc>
        <w:tc>
          <w:tcPr>
            <w:tcW w:w="318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Ref.</w:t>
            </w:r>
          </w:p>
        </w:tc>
        <w:tc>
          <w:tcPr>
            <w:tcW w:w="127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nd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(5.7-8.9 µg/L)</w:t>
            </w:r>
          </w:p>
        </w:tc>
        <w:tc>
          <w:tcPr>
            <w:tcW w:w="31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(0.5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EA65A8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0.026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(9.0-14.1 µg/L)</w:t>
            </w:r>
          </w:p>
        </w:tc>
        <w:tc>
          <w:tcPr>
            <w:tcW w:w="318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-0.8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EA65A8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0.003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(&gt;14.2 µg/L)</w:t>
            </w:r>
          </w:p>
        </w:tc>
        <w:tc>
          <w:tcPr>
            <w:tcW w:w="3181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-0.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4D2EA5" w:rsidRPr="00877E86" w:rsidTr="000D747D">
        <w:trPr>
          <w:trHeight w:val="20"/>
        </w:trPr>
        <w:tc>
          <w:tcPr>
            <w:tcW w:w="6948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sz w:val="20"/>
                <w:szCs w:val="20"/>
              </w:rPr>
              <w:t>Non-</w:t>
            </w:r>
            <w:r w:rsidR="00221C88" w:rsidRPr="00877E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ACS</w:t>
            </w:r>
            <w:r w:rsidRPr="00877E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patients</w:t>
            </w:r>
            <w:r w:rsidR="00EA65A8" w:rsidRPr="00877E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(n=2280)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HCY </w:t>
            </w:r>
            <w:proofErr w:type="spellStart"/>
            <w:r w:rsidRPr="00877E86">
              <w:rPr>
                <w:rFonts w:ascii="Times New Roman" w:hAnsi="Times New Roman" w:cs="Times New Roman"/>
                <w:b/>
                <w:sz w:val="20"/>
                <w:szCs w:val="20"/>
              </w:rPr>
              <w:t>qu</w:t>
            </w:r>
            <w:proofErr w:type="spellEnd"/>
            <w:r w:rsidRPr="00877E8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artiles</w:t>
            </w:r>
          </w:p>
        </w:tc>
        <w:tc>
          <w:tcPr>
            <w:tcW w:w="3181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st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(&lt;9.8 µmol/L)</w:t>
            </w:r>
          </w:p>
        </w:tc>
        <w:tc>
          <w:tcPr>
            <w:tcW w:w="31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Ref.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nd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(9.9-12.4 µmol/L)</w:t>
            </w:r>
          </w:p>
        </w:tc>
        <w:tc>
          <w:tcPr>
            <w:tcW w:w="318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1.</w:t>
            </w:r>
            <w:r w:rsidR="00BC0076"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7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(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1.06-1.7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6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127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0.</w:t>
            </w:r>
            <w:r w:rsidR="00EA65A8"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016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rd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(12.5-15.5 µmol/L)</w:t>
            </w:r>
          </w:p>
        </w:tc>
        <w:tc>
          <w:tcPr>
            <w:tcW w:w="31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EA65A8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  <w:r w:rsidR="004D2EA5"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4D2EA5" w:rsidRPr="00877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  <w:r w:rsidR="004D2EA5"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EA65A8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tcBorders>
              <w:bottom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(&gt;15.6 µmol/L)</w:t>
            </w:r>
          </w:p>
        </w:tc>
        <w:tc>
          <w:tcPr>
            <w:tcW w:w="3181" w:type="dxa"/>
            <w:tcBorders>
              <w:bottom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EA65A8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  <w:r w:rsidR="004D2EA5"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-2.86</w:t>
            </w:r>
            <w:r w:rsidR="004D2EA5"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sz w:val="20"/>
                <w:szCs w:val="20"/>
              </w:rPr>
              <w:t>Vitamin B6 quartiles</w:t>
            </w:r>
          </w:p>
        </w:tc>
        <w:tc>
          <w:tcPr>
            <w:tcW w:w="31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(&lt;5.6 µg/L)</w:t>
            </w:r>
          </w:p>
        </w:tc>
        <w:tc>
          <w:tcPr>
            <w:tcW w:w="318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Ref.</w:t>
            </w:r>
          </w:p>
        </w:tc>
        <w:tc>
          <w:tcPr>
            <w:tcW w:w="127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(5.7-8.9 µg/L)</w:t>
            </w:r>
          </w:p>
        </w:tc>
        <w:tc>
          <w:tcPr>
            <w:tcW w:w="31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EA65A8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(9.0-14.1 µg/L)</w:t>
            </w:r>
          </w:p>
        </w:tc>
        <w:tc>
          <w:tcPr>
            <w:tcW w:w="318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-0.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EA65A8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0.003</w:t>
            </w:r>
          </w:p>
        </w:tc>
      </w:tr>
      <w:tr w:rsidR="004D2EA5" w:rsidRPr="00877E86" w:rsidTr="000D747D">
        <w:trPr>
          <w:trHeight w:val="20"/>
        </w:trPr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77E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(&gt;14.2 µg/L)</w:t>
            </w:r>
          </w:p>
        </w:tc>
        <w:tc>
          <w:tcPr>
            <w:tcW w:w="3181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747D" w:rsidRPr="00877E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-0.</w:t>
            </w:r>
            <w:r w:rsidR="00EA65A8" w:rsidRPr="00877E8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877E86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&lt;0.001</w:t>
            </w:r>
          </w:p>
        </w:tc>
      </w:tr>
      <w:tr w:rsidR="004D2EA5" w:rsidRPr="00AB0D04" w:rsidTr="000D747D">
        <w:trPr>
          <w:trHeight w:val="20"/>
        </w:trPr>
        <w:tc>
          <w:tcPr>
            <w:tcW w:w="6948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D2EA5" w:rsidRPr="00AB0D04" w:rsidRDefault="004D2EA5" w:rsidP="004D2E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Statistically significant risk factors are reported in bold. Adjusted for cardiovascular risk factors, such as sex, LDL cholesterol, HDL cholesterol, BMI, lipid lowering therapy, blood pressure, diabetes mellitus, smoking, </w:t>
            </w:r>
            <w:proofErr w:type="spellStart"/>
            <w:r w:rsidRPr="00877E86">
              <w:rPr>
                <w:rFonts w:ascii="Times New Roman" w:hAnsi="Times New Roman" w:cs="Times New Roman"/>
                <w:sz w:val="20"/>
                <w:szCs w:val="20"/>
              </w:rPr>
              <w:t>hsCRP</w:t>
            </w:r>
            <w:proofErr w:type="spellEnd"/>
            <w:r w:rsidRPr="00877E86">
              <w:rPr>
                <w:rFonts w:ascii="Times New Roman" w:hAnsi="Times New Roman" w:cs="Times New Roman"/>
                <w:sz w:val="20"/>
                <w:szCs w:val="20"/>
              </w:rPr>
              <w:t xml:space="preserve"> and creatinine. Ref.: reference.</w:t>
            </w:r>
          </w:p>
        </w:tc>
      </w:tr>
      <w:bookmarkEnd w:id="0"/>
    </w:tbl>
    <w:p w:rsidR="004A54D1" w:rsidRPr="00AB0D04" w:rsidRDefault="00877E86"/>
    <w:p w:rsidR="004D2EA5" w:rsidRPr="00AB0D04" w:rsidRDefault="004D2EA5"/>
    <w:p w:rsidR="004D2EA5" w:rsidRPr="00AB0D04" w:rsidRDefault="004D2EA5">
      <w:r w:rsidRPr="00AB0D04">
        <w:br w:type="page"/>
      </w:r>
    </w:p>
    <w:p w:rsidR="000D747D" w:rsidRPr="00AB0D04" w:rsidRDefault="000D747D">
      <w:r w:rsidRPr="00AB0D04">
        <w:rPr>
          <w:rFonts w:ascii="Times New Roman" w:hAnsi="Times New Roman" w:cs="Times New Roman"/>
          <w:b/>
          <w:bCs/>
          <w:sz w:val="20"/>
          <w:szCs w:val="20"/>
        </w:rPr>
        <w:lastRenderedPageBreak/>
        <w:t>Suppl. Table 2</w:t>
      </w:r>
      <w:r w:rsidRPr="00AB0D04">
        <w:rPr>
          <w:rFonts w:ascii="Times New Roman" w:hAnsi="Times New Roman" w:cs="Times New Roman"/>
          <w:sz w:val="20"/>
          <w:szCs w:val="20"/>
        </w:rPr>
        <w:t>: Indices of inflammation according to vitamin B6 and HCY quartiles.</w:t>
      </w:r>
    </w:p>
    <w:tbl>
      <w:tblPr>
        <w:tblW w:w="10209" w:type="dxa"/>
        <w:tblLayout w:type="fixed"/>
        <w:tblCellMar>
          <w:left w:w="0" w:type="dxa"/>
          <w:right w:w="0" w:type="dxa"/>
        </w:tblCellMar>
        <w:tblLook w:val="0420"/>
      </w:tblPr>
      <w:tblGrid>
        <w:gridCol w:w="1562"/>
        <w:gridCol w:w="1984"/>
        <w:gridCol w:w="1985"/>
        <w:gridCol w:w="1984"/>
        <w:gridCol w:w="1701"/>
        <w:gridCol w:w="993"/>
      </w:tblGrid>
      <w:tr w:rsidR="004D2EA5" w:rsidRPr="00AB0D04" w:rsidTr="000D747D">
        <w:trPr>
          <w:trHeight w:val="20"/>
        </w:trPr>
        <w:tc>
          <w:tcPr>
            <w:tcW w:w="15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B17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Vitamin B6 quartiles (</w:t>
            </w: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µg/L)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</w:t>
            </w:r>
            <w:r w:rsidRPr="00AB0D0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st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&lt;5.6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</w:t>
            </w:r>
            <w:r w:rsidRPr="00AB0D0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nd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5.7-8.9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</w:t>
            </w:r>
            <w:r w:rsidRPr="00AB0D0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rd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9.0-14.1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  <w:r w:rsidRPr="00AB0D0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  <w:t>th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&gt;14.2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p-Value </w:t>
            </w:r>
          </w:p>
        </w:tc>
      </w:tr>
      <w:tr w:rsidR="004D2EA5" w:rsidRPr="00AB0D04" w:rsidTr="000D747D">
        <w:trPr>
          <w:trHeight w:val="113"/>
        </w:trPr>
        <w:tc>
          <w:tcPr>
            <w:tcW w:w="156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B17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hs-CRP</w:t>
            </w:r>
          </w:p>
          <w:p w:rsidR="004D2EA5" w:rsidRPr="00AB0D04" w:rsidRDefault="004D2EA5" w:rsidP="00B17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(mg/L)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6.34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(1.15-38.20)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3.83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(0.76-22.69)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2.93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(0.60-14.64)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1.81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(0.49-8.49)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&lt;0.001</w:t>
            </w:r>
          </w:p>
        </w:tc>
      </w:tr>
      <w:tr w:rsidR="004D2EA5" w:rsidRPr="00AB0D04" w:rsidTr="000D747D">
        <w:trPr>
          <w:trHeight w:val="20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B17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IL-6</w:t>
            </w:r>
          </w:p>
          <w:p w:rsidR="004D2EA5" w:rsidRPr="00AB0D04" w:rsidRDefault="004D2EA5" w:rsidP="00B17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(pg/mL)</w:t>
            </w:r>
          </w:p>
        </w:tc>
        <w:tc>
          <w:tcPr>
            <w:tcW w:w="1984" w:type="dxa"/>
            <w:tcBorders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4.48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(1.42-16.02)</w:t>
            </w:r>
          </w:p>
        </w:tc>
        <w:tc>
          <w:tcPr>
            <w:tcW w:w="1985" w:type="dxa"/>
            <w:tcBorders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3.29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(1.29-11.52)</w:t>
            </w:r>
          </w:p>
        </w:tc>
        <w:tc>
          <w:tcPr>
            <w:tcW w:w="1984" w:type="dxa"/>
            <w:tcBorders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3.01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(1.14-9.68)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(0.93-7.93)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&lt;0.001</w:t>
            </w:r>
          </w:p>
        </w:tc>
      </w:tr>
      <w:tr w:rsidR="004D2EA5" w:rsidRPr="00AB0D04" w:rsidTr="000D747D">
        <w:trPr>
          <w:trHeight w:val="20"/>
        </w:trPr>
        <w:tc>
          <w:tcPr>
            <w:tcW w:w="15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B17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HCY quartiles (µmol/L)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B0D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&lt;9.8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B0D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9.9-12.4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B0D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2.5-15.5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0D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&gt;15.6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 xml:space="preserve">p-Value </w:t>
            </w:r>
          </w:p>
        </w:tc>
      </w:tr>
      <w:tr w:rsidR="004D2EA5" w:rsidRPr="00AB0D04" w:rsidTr="000D747D">
        <w:trPr>
          <w:trHeight w:val="113"/>
        </w:trPr>
        <w:tc>
          <w:tcPr>
            <w:tcW w:w="1562" w:type="dxa"/>
            <w:tcBorders>
              <w:top w:val="single" w:sz="8" w:space="0" w:color="000000"/>
              <w:left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B17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  <w:proofErr w:type="spellEnd"/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-CRP</w:t>
            </w:r>
          </w:p>
          <w:p w:rsidR="004D2EA5" w:rsidRPr="00AB0D04" w:rsidRDefault="004D2EA5" w:rsidP="00B17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g/L)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2.86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(0.60-19.30)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3.22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(0.64-20.92)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3.58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(0.66-21.30)</w:t>
            </w:r>
          </w:p>
        </w:tc>
        <w:tc>
          <w:tcPr>
            <w:tcW w:w="1701" w:type="dxa"/>
            <w:tcBorders>
              <w:top w:val="single" w:sz="2" w:space="0" w:color="000000"/>
              <w:left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4.04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(0.82-25.70)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right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&lt;0.001</w:t>
            </w:r>
          </w:p>
        </w:tc>
      </w:tr>
      <w:tr w:rsidR="004D2EA5" w:rsidRPr="00AB0D04" w:rsidTr="000D747D">
        <w:trPr>
          <w:trHeight w:val="20"/>
        </w:trPr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B17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IL-6</w:t>
            </w:r>
          </w:p>
          <w:p w:rsidR="004D2EA5" w:rsidRPr="00AB0D04" w:rsidRDefault="004D2EA5" w:rsidP="00B17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(pg/mL)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2.80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(1.03-9.22)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3.07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(1.16-10.27)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3.20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(1.15-11.50)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747D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4.05</w:t>
            </w:r>
          </w:p>
          <w:p w:rsidR="004D2EA5" w:rsidRPr="00AB0D04" w:rsidRDefault="004D2EA5" w:rsidP="000D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(1.40-14.36)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EA5" w:rsidRPr="00AB0D04" w:rsidRDefault="004D2EA5" w:rsidP="000D74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B0D0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&lt;0.001</w:t>
            </w:r>
          </w:p>
        </w:tc>
      </w:tr>
    </w:tbl>
    <w:p w:rsidR="004D2EA5" w:rsidRPr="00AB0D04" w:rsidRDefault="004D2EA5" w:rsidP="004D2EA5">
      <w:pPr>
        <w:rPr>
          <w:rFonts w:ascii="Times New Roman" w:hAnsi="Times New Roman" w:cs="Times New Roman"/>
          <w:sz w:val="20"/>
          <w:szCs w:val="20"/>
        </w:rPr>
      </w:pPr>
      <w:r w:rsidRPr="00AB0D04">
        <w:rPr>
          <w:rFonts w:ascii="Times New Roman" w:hAnsi="Times New Roman" w:cs="Times New Roman"/>
          <w:sz w:val="20"/>
          <w:szCs w:val="20"/>
        </w:rPr>
        <w:t>Variables are reported as median (10</w:t>
      </w:r>
      <w:r w:rsidRPr="00AB0D04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AB0D04">
        <w:rPr>
          <w:rFonts w:ascii="Times New Roman" w:hAnsi="Times New Roman" w:cs="Times New Roman"/>
          <w:sz w:val="20"/>
          <w:szCs w:val="20"/>
        </w:rPr>
        <w:t>-90</w:t>
      </w:r>
      <w:r w:rsidRPr="00AB0D04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AB0D04">
        <w:rPr>
          <w:rFonts w:ascii="Times New Roman" w:hAnsi="Times New Roman" w:cs="Times New Roman"/>
          <w:sz w:val="20"/>
          <w:szCs w:val="20"/>
        </w:rPr>
        <w:t xml:space="preserve"> percentiles). Statistically significant differences are reported in bold.</w:t>
      </w:r>
    </w:p>
    <w:p w:rsidR="00E74DF5" w:rsidRPr="00AB0D04" w:rsidRDefault="00E74DF5">
      <w:pPr>
        <w:rPr>
          <w:rFonts w:ascii="Calibri" w:hAnsi="Calibri" w:cstheme="minorHAnsi"/>
          <w:b/>
        </w:rPr>
      </w:pPr>
      <w:r w:rsidRPr="00AB0D04">
        <w:rPr>
          <w:rFonts w:ascii="Calibri" w:hAnsi="Calibri" w:cstheme="minorHAnsi"/>
          <w:b/>
        </w:rPr>
        <w:br w:type="page"/>
      </w:r>
    </w:p>
    <w:p w:rsidR="00E74DF5" w:rsidRPr="00AB0D04" w:rsidRDefault="007044B5" w:rsidP="004D2EA5">
      <w:pPr>
        <w:rPr>
          <w:rFonts w:ascii="Calibri" w:hAnsi="Calibri" w:cstheme="minorHAnsi"/>
          <w:b/>
        </w:rPr>
      </w:pPr>
      <w:r w:rsidRPr="007044B5">
        <w:rPr>
          <w:rFonts w:ascii="Calibri" w:hAnsi="Calibri" w:cstheme="minorHAnsi"/>
          <w:b/>
          <w:noProof/>
          <w:lang w:val="it-IT"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DiTesto 15" o:spid="_x0000_s1026" type="#_x0000_t202" style="position:absolute;margin-left:32.2pt;margin-top:-10.7pt;width:358.35pt;height:21.8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" filled="f" stroked="f">
            <v:textbox style="mso-fit-shape-to-text:t">
              <w:txbxContent>
                <w:p w:rsidR="00E74DF5" w:rsidRPr="00E74DF5" w:rsidRDefault="00E74DF5" w:rsidP="00E74DF5">
                  <w:pPr>
                    <w:pStyle w:val="NormalWeb"/>
                    <w:kinsoku w:val="0"/>
                    <w:overflowPunct w:val="0"/>
                    <w:spacing w:before="0" w:beforeAutospacing="0" w:after="0" w:afterAutospacing="0"/>
                    <w:rPr>
                      <w:lang w:val="en-US"/>
                    </w:rPr>
                  </w:pPr>
                  <w:r w:rsidRPr="00E74DF5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lang w:val="en-US"/>
                    </w:rPr>
                    <w:t xml:space="preserve"> Supplementary Fig. 1: </w:t>
                  </w:r>
                  <w:r w:rsidRPr="00E74DF5">
                    <w:rPr>
                      <w:rFonts w:asciiTheme="minorHAnsi" w:hAnsi="Calibri" w:cstheme="minorBidi"/>
                      <w:color w:val="000000" w:themeColor="text1"/>
                      <w:kern w:val="24"/>
                      <w:lang w:val="en-US"/>
                    </w:rPr>
                    <w:t>Flowchart of the LURIC study.</w:t>
                  </w:r>
                </w:p>
              </w:txbxContent>
            </v:textbox>
          </v:shape>
        </w:pict>
      </w:r>
      <w:r w:rsidRPr="007044B5">
        <w:rPr>
          <w:rFonts w:ascii="Calibri" w:hAnsi="Calibri" w:cstheme="minorHAnsi"/>
          <w:b/>
          <w:noProof/>
          <w:lang w:val="it-IT" w:eastAsia="it-IT"/>
        </w:rPr>
        <w:pict>
          <v:group id="Gruppo 1" o:spid="_x0000_s1027" style="position:absolute;margin-left:143.3pt;margin-top:146.85pt;width:228pt;height:457pt;z-index:251656704" coordorigin="2807606,905544" coordsize="2896234,580399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">
            <v:shape id="Rectangle 2" o:spid="_x0000_s1028" type="#_x0000_t202" style="position:absolute;left:2807606;top:905544;width:2819400;height:838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zKqzwgAA&#10;ANoAAAAPAAAAZHJzL2Rvd25yZXYueG1sRI9BawIxFITvBf9DeEJvNauFUlbjsqxVvFYLvT43z83i&#10;5mVNUl399aZQ6HGYmW+YRTHYTlzIh9axgukkA0FcO91yo+Brv355BxEissbOMSm4UYBiOXpaYK7d&#10;lT/psouNSBAOOSowMfa5lKE2ZDFMXE+cvKPzFmOSvpHa4zXBbSdnWfYmLbacFgz2VBmqT7sfq8B/&#10;VOFwP5dmtorf5Qa7/Xnb3pV6Hg/lHESkIf6H/9pbreAVfq+kG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bMqrPCAAAA2gAAAA8AAAAAAAAAAAAAAAAAlwIAAGRycy9kb3du&#10;cmV2LnhtbFBLBQYAAAAABAAEAPUAAACGAwAAAAA=&#10;" fillcolor="#f2f2f2 [3052]" stroked="f">
              <v:textbox>
                <w:txbxContent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Calibri" w:hAnsi="Calibri" w:cs="Calibri"/>
                        <w:color w:val="000000" w:themeColor="text1"/>
                        <w:kern w:val="24"/>
                        <w:sz w:val="28"/>
                        <w:szCs w:val="28"/>
                        <w:lang w:val="en-US"/>
                      </w:rPr>
                      <w:t>LURIC study</w:t>
                    </w:r>
                  </w:p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Calibri" w:hAnsi="Calibri" w:cs="Calibri"/>
                        <w:color w:val="000000" w:themeColor="text1"/>
                        <w:kern w:val="24"/>
                        <w:sz w:val="28"/>
                        <w:szCs w:val="28"/>
                        <w:lang w:val="en-US"/>
                      </w:rPr>
                      <w:t>Ludwigshafen Risk and Cardiovascular Health study</w:t>
                    </w:r>
                  </w:p>
                </w:txbxContent>
              </v:textbox>
            </v:shape>
            <v:shape id="CasellaDiTesto 3" o:spid="_x0000_s1029" type="#_x0000_t202" style="position:absolute;left:2807606;top:1859632;width:2896234;height:6591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fqX2wwAA&#10;ANoAAAAPAAAAZHJzL2Rvd25yZXYueG1sRI9La8MwEITvhf4HsYVcQiI3bh51o4QQyOMW8rov1tZ2&#10;a62MpcT2v48KgR6HmfmGmS9bU4o71a6wrOB9GIEgTq0uOFNwOW8GMxDOI2ssLZOCjhwsF68vc0y0&#10;bfhI95PPRICwS1BB7n2VSOnSnAy6oa2Ig/dta4M+yDqTusYmwE0pR1E0kQYLDgs5VrTOKf093YyC&#10;zB3jn7gf43Tcja67a/PZbQ9aqd5bu/oC4an1/+Fne68VfMDflXAD5OI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fqX2wwAAANoAAAAPAAAAAAAAAAAAAAAAAJcCAABkcnMvZG93&#10;bnJldi54bWxQSwUGAAAAAAQABAD1AAAAhwMAAAAA&#10;" filled="f">
              <v:textbox style="mso-fit-shape-to-text:t">
                <w:txbxContent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color w:val="000000"/>
                        <w:kern w:val="24"/>
                        <w:lang w:val="en-US"/>
                      </w:rPr>
                      <w:t>RECRUITMENT started in 1997</w:t>
                    </w:r>
                  </w:p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i/>
                        <w:iCs/>
                        <w:color w:val="000000"/>
                        <w:kern w:val="24"/>
                        <w:lang w:val="en-US"/>
                      </w:rPr>
                      <w:t>Prospective, monocentric, Cardiology in Ludwigshafen</w:t>
                    </w:r>
                  </w:p>
                </w:txbxContent>
              </v:textbox>
            </v:shape>
            <v:shape id="CasellaDiTesto 4" o:spid="_x0000_s1030" type="#_x0000_t202" style="position:absolute;left:3733582;top:3754888;width:1053464;height:28701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FAGWwgAA&#10;ANoAAAAPAAAAZHJzL2Rvd25yZXYueG1sRI9Bi8IwFITvwv6H8Ba8aeqKslSjLC6CoiDWxfOjebZ1&#10;m5faxFr/vREEj8PMfMNM560pRUO1KywrGPQjEMSp1QVnCv4Oy943COeRNZaWScGdHMxnH50pxtre&#10;eE9N4jMRIOxiVJB7X8VSujQng65vK+LgnWxt0AdZZ1LXeAtwU8qvKBpLgwWHhRwrWuSU/idXo2Bz&#10;PA/c79qkl+1mP2xGh8Vqt0uU6n62PxMQnlr/Dr/aK61gBM8r4QbI2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AUAZbCAAAA2gAAAA8AAAAAAAAAAAAAAAAAlwIAAGRycy9kb3du&#10;cmV2LnhtbFBLBQYAAAAABAAEAPUAAACGAwAAAAA=&#10;" filled="f">
              <v:textbox style="mso-fit-shape-to-text:t">
                <w:txbxContent>
                  <w:p w:rsidR="00E74DF5" w:rsidRDefault="00E74DF5" w:rsidP="00E74DF5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Calibri" w:hAnsi="Calibri" w:cs="Calibri"/>
                        <w:color w:val="000000"/>
                        <w:kern w:val="24"/>
                      </w:rPr>
                      <w:t>ENROLLMENT</w:t>
                    </w:r>
                  </w:p>
                </w:txbxContent>
              </v:textbox>
            </v:shape>
            <v:shape id="CasellaDiTesto 5" o:spid="_x0000_s1031" type="#_x0000_t202" style="position:absolute;left:3044143;top:2743651;width:2430463;height:8318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55QOxAAA&#10;ANoAAAAPAAAAZHJzL2Rvd25yZXYueG1sRI9Ba8JAFITvBf/D8oTe6sZSjEY3QSqFVqFQFbw+ss9s&#10;MPs2za4x/fddodDjMDPfMKtisI3oqfO1YwXTSQKCuHS65krB8fD2NAfhA7LGxjEp+CEPRT56WGGm&#10;3Y2/qN+HSkQI+wwVmBDaTEpfGrLoJ64ljt7ZdRZDlF0ldYe3CLeNfE6SmbRYc1ww2NKrofKyv1oF&#10;/PIRPhfmukvT0ybdrTffvTtslXocD+sliEBD+A//td+1ghncr8QbIP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OeUDsQAAADaAAAADwAAAAAAAAAAAAAAAACXAgAAZHJzL2Rv&#10;d25yZXYueG1sUEsFBgAAAAAEAAQA9QAAAIgDAAAAAA==&#10;" fillcolor="#f2f2f2" stroked="f">
              <v:textbox style="mso-fit-shape-to-text:t">
                <w:txbxContent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color w:val="000000"/>
                        <w:kern w:val="24"/>
                        <w:lang w:val="en-US"/>
                      </w:rPr>
                      <w:t>INCLUSION CRITERIA:</w:t>
                    </w:r>
                  </w:p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color w:val="000000"/>
                        <w:kern w:val="24"/>
                        <w:lang w:val="en-US"/>
                      </w:rPr>
                      <w:t>German ancestry</w:t>
                    </w:r>
                  </w:p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color w:val="000000"/>
                        <w:kern w:val="24"/>
                        <w:lang w:val="en-US"/>
                      </w:rPr>
                      <w:t>Clinical stability</w:t>
                    </w:r>
                  </w:p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color w:val="000000"/>
                        <w:kern w:val="24"/>
                        <w:lang w:val="en-US"/>
                      </w:rPr>
                      <w:t>Availability of a coronary angiogram</w:t>
                    </w:r>
                  </w:p>
                </w:txbxContent>
              </v:textbox>
            </v:shape>
            <v:shape id="CasellaDiTesto 8" o:spid="_x0000_s1032" type="#_x0000_t202" style="position:absolute;left:2879044;top:4298032;width:2778125;height:46196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IhrFwwAA&#10;ANoAAAAPAAAAZHJzL2Rvd25yZXYueG1sRI9BawIxFITvBf9DeEJvNast3bIaRYTSXorWFvb6unlu&#10;Fjcv2ySu6783QqHHYWa+YRarwbaiJx8axwqmkwwEceV0w7WC76/XhxcQISJrbB2TggsFWC1Hdwss&#10;tDvzJ/X7WIsE4VCgAhNjV0gZKkMWw8R1xMk7OG8xJulrqT2eE9y2cpZlz9Jiw2nBYEcbQ9Vxf7IK&#10;PJuyf7xsf/I4/X36eLPlaZeXSt2Ph/UcRKQh/of/2u9aQQ63K+kGyOUV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NIhrFwwAAANoAAAAPAAAAAAAAAAAAAAAAAJcCAABkcnMvZG93&#10;bnJldi54bWxQSwUGAAAAAAQABAD1AAAAhwMAAAAA&#10;" fillcolor="#f2f2f2 [3052]" stroked="f">
              <v:textbox style="mso-fit-shape-to-text:t">
                <w:txbxContent>
                  <w:p w:rsidR="00E74DF5" w:rsidRPr="00E74DF5" w:rsidRDefault="00E74DF5" w:rsidP="00E74DF5">
                    <w:pPr>
                      <w:pStyle w:val="NormalWeb"/>
                      <w:kinsoku w:val="0"/>
                      <w:overflowPunct w:val="0"/>
                      <w:spacing w:before="0" w:beforeAutospacing="0" w:after="0" w:afterAutospacing="0"/>
                      <w:jc w:val="center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color w:val="000000"/>
                        <w:kern w:val="24"/>
                        <w:lang w:val="en-US"/>
                      </w:rPr>
                      <w:t xml:space="preserve">Blood analyses of </w:t>
                    </w:r>
                    <w:bookmarkStart w:id="1" w:name="_GoBack"/>
                    <w:bookmarkEnd w:id="1"/>
                    <w:r w:rsidRPr="00E74DF5">
                      <w:rPr>
                        <w:rFonts w:ascii="Calibri" w:hAnsi="Calibri" w:cs="Calibri"/>
                        <w:color w:val="000000"/>
                        <w:kern w:val="24"/>
                        <w:lang w:val="en-US"/>
                      </w:rPr>
                      <w:t>more than 3000 parameters (biochemical and genomics)</w:t>
                    </w:r>
                  </w:p>
                </w:txbxContent>
              </v:textbox>
            </v:shape>
            <v:shape id="CasellaDiTesto 10" o:spid="_x0000_s1033" type="#_x0000_t202" style="position:absolute;left:3188523;top:5288413;width:2119629;height:473074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Fa4IwQAA&#10;ANoAAAAPAAAAZHJzL2Rvd25yZXYueG1sRE9Na8JAEL0X/A/LCL01Gy2VErNKUQqWFCRJ8TxkxyQ2&#10;O5tmtzH9992D4PHxvtPtZDox0uBaywoWUQyCuLK65VrBV/n+9ArCeWSNnWVS8EcOtpvZQ4qJtlfO&#10;aSx8LUIIuwQVNN73iZSuasigi2xPHLizHQz6AIda6gGvIdx0chnHK2mw5dDQYE+7hqrv4tcoyE6X&#10;hdt/mOrnM8ufx5dydzgeC6Ue59PbGoSnyd/FN/dBKwhbw5VwA+Tm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hWuCMEAAADaAAAADwAAAAAAAAAAAAAAAACXAgAAZHJzL2Rvd25y&#10;ZXYueG1sUEsFBgAAAAAEAAQA9QAAAIUDAAAAAA==&#10;" filled="f">
              <v:textbox style="mso-fit-shape-to-text:t">
                <w:txbxContent>
                  <w:p w:rsidR="00E74DF5" w:rsidRDefault="00E74DF5" w:rsidP="00E74DF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000000"/>
                        <w:kern w:val="24"/>
                      </w:rPr>
                      <w:t>RECRUITMENT finished in 2002</w:t>
                    </w:r>
                  </w:p>
                  <w:p w:rsidR="00E74DF5" w:rsidRDefault="00E74DF5" w:rsidP="00E74DF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i/>
                        <w:iCs/>
                        <w:color w:val="000000"/>
                        <w:kern w:val="24"/>
                      </w:rPr>
                      <w:t>3316 patients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9" o:spid="_x0000_s1034" type="#_x0000_t32" style="position:absolute;left:4255406;top:2505744;width:4763;height:23812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hDROMQAAADaAAAADwAAAGRycy9kb3ducmV2LnhtbESPzWrDMBCE74W8g9hAbo0cF0LiRjaN&#10;oY0PhZC/+2JtbVNr5Vhq7PTpq0Khx2FmvmE22WhacaPeNZYVLOYRCOLS6oYrBefT6+MKhPPIGlvL&#10;pOBODrJ08rDBRNuBD3Q7+koECLsEFdTed4mUrqzJoJvbjjh4H7Y36IPsK6l7HALctDKOoqU02HBY&#10;qLGjvKby8/hlFDxtt9/n4u0997vLng6xuS5O3VWp2XR8eQbhafT/4b92oRWs4fdKuAEy/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2ENE4xAAAANoAAAAPAAAAAAAAAAAA&#10;AAAAAKECAABkcnMvZG93bnJldi54bWxQSwUGAAAAAAQABAD5AAAAkgMAAAAA&#10;" strokecolor="black [3213]" strokeweight="1pt">
              <v:stroke endarrow="open"/>
              <v:shadow color="#eeece1 [3214]" opacity="49150f"/>
            </v:shape>
            <v:shape id="Connettore 2 10" o:spid="_x0000_s1035" type="#_x0000_t32" style="position:absolute;left:4260169;top:3575719;width:1587;height:17938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83ejMQAAADbAAAADwAAAGRycy9kb3ducmV2LnhtbESPS4vCQBCE74L/YWhhbzpRQSTrKCr4&#10;OCwsPvbeZNokmOmJmVGz++vtw4K3bqq66uvZonWVelATSs8GhoMEFHHmbcm5gfNp05+CChHZYuWZ&#10;DPxSgMW825lhav2TD/Q4xlxJCIcUDRQx1qnWISvIYRj4mli0i28cRlmbXNsGnxLuKj1Kkol2WLI0&#10;FFjTuqDserw7A+PV6u+8336t4+7nmw4jdxue6psxH712+QkqUhvf5v/rvRV8oZdfZAA9f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nzd6MxAAAANsAAAAPAAAAAAAAAAAA&#10;AAAAAKECAABkcnMvZG93bnJldi54bWxQSwUGAAAAAAQABAD5AAAAkgMAAAAA&#10;" strokecolor="black [3213]" strokeweight="1pt">
              <v:stroke endarrow="open"/>
              <v:shadow color="#eeece1 [3214]" opacity="49150f"/>
            </v:shape>
            <v:shape id="Connettore 2 11" o:spid="_x0000_s1036" type="#_x0000_t32" style="position:absolute;left:4261756;top:4031332;width:6350;height:2667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IF7F8IAAADbAAAADwAAAGRycy9kb3ducmV2LnhtbERPTWvCQBC9F/wPyxR6q5tYkBKzkSrY&#10;5lAoJnofsmMSzM7G7Nak/fVuoeBtHu9z0vVkOnGlwbWWFcTzCARxZXXLtYJDuXt+BeE8ssbOMin4&#10;IQfrbPaQYqLtyHu6Fr4WIYRdggoa7/tESlc1ZNDNbU8cuJMdDPoAh1rqAccQbjq5iKKlNNhyaGiw&#10;p21D1bn4NgpeNpvfQ/7+ufUfxy/aL8wlLvuLUk+P09sKhKfJ38X/7lyH+TH8/RIOkNk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IF7F8IAAADbAAAADwAAAAAAAAAAAAAA&#10;AAChAgAAZHJzL2Rvd25yZXYueG1sUEsFBgAAAAAEAAQA+QAAAJADAAAAAA==&#10;" strokecolor="black [3213]" strokeweight="1pt">
              <v:stroke endarrow="open"/>
              <v:shadow color="#eeece1 [3214]" opacity="49150f"/>
            </v:shape>
            <v:shape id="CasellaDiTesto 30" o:spid="_x0000_s1037" type="#_x0000_t202" style="position:absolute;left:2826630;top:6050413;width:2795269;height:65912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LPPYwwAA&#10;ANsAAAAPAAAAZHJzL2Rvd25yZXYueG1sRE9Na8JAEL0X/A/LCL3VjZaWEl1FlEJKCpJYPA/ZMYlm&#10;Z2N2m6T/vlsoeJvH+5zVZjSN6KlztWUF81kEgriwuuZSwdfx/ekNhPPIGhvLpOCHHGzWk4cVxtoO&#10;nFGf+1KEEHYxKqi8b2MpXVGRQTezLXHgzrYz6APsSqk7HEK4aeQiil6lwZpDQ4Ut7Soqrvm3UZCe&#10;LnO3/zDF7TPNnvuX4y45HHKlHqfjdgnC0+jv4n93osP8Bfz9Eg6Q6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+LPPYwwAAANsAAAAPAAAAAAAAAAAAAAAAAJcCAABkcnMvZG93&#10;bnJldi54bWxQSwUGAAAAAAQABAD1AAAAhwMAAAAA&#10;" filled="f">
              <v:textbox style="mso-fit-shape-to-text:t">
                <w:txbxContent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color w:val="000000"/>
                        <w:kern w:val="24"/>
                        <w:lang w:val="en-US"/>
                      </w:rPr>
                      <w:t xml:space="preserve">10-YEARS FOLLOW-UP completed in 2012: </w:t>
                    </w:r>
                  </w:p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i/>
                        <w:iCs/>
                        <w:color w:val="000000"/>
                        <w:kern w:val="24"/>
                        <w:lang w:val="en-US"/>
                      </w:rPr>
                      <w:t xml:space="preserve">2321 participants were still alive </w:t>
                    </w:r>
                  </w:p>
                  <w:p w:rsidR="00E74DF5" w:rsidRPr="00E74DF5" w:rsidRDefault="00E74DF5" w:rsidP="00E74DF5">
                    <w:pPr>
                      <w:pStyle w:val="NormalWeb"/>
                      <w:spacing w:before="0" w:beforeAutospacing="0" w:after="0" w:afterAutospacing="0"/>
                      <w:rPr>
                        <w:lang w:val="en-US"/>
                      </w:rPr>
                    </w:pPr>
                    <w:r w:rsidRPr="00E74DF5">
                      <w:rPr>
                        <w:rFonts w:ascii="Calibri" w:hAnsi="Calibri" w:cs="Calibri"/>
                        <w:i/>
                        <w:iCs/>
                        <w:color w:val="000000"/>
                        <w:kern w:val="24"/>
                        <w:lang w:val="en-US"/>
                      </w:rPr>
                      <w:t>995 participants had died (30%)</w:t>
                    </w:r>
                  </w:p>
                </w:txbxContent>
              </v:textbox>
            </v:shape>
            <v:shape id="Connettore 2 13" o:spid="_x0000_s1038" type="#_x0000_t32" style="position:absolute;left:4244294;top:5750594;width:11112;height:300038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JRbpsAAAADbAAAADwAAAGRycy9kb3ducmV2LnhtbERPTWsCMRC9C/6HMEJvNaulraxGEUHw&#10;ZFGLXofNmF13M1mSqNv+elMoeJvH+5zZorONuJEPlWMFo2EGgrhwumKj4Puwfp2ACBFZY+OYFPxQ&#10;gMW835thrt2dd3TbRyNSCIccFZQxtrmUoSjJYhi6ljhxZ+ctxgS9kdrjPYXbRo6z7ENarDg1lNjS&#10;qqSi3l+tArs9ufp4PX+ar/D+a7yly6beKvUy6JZTEJG6+BT/uzc6zX+Dv1/SAXL+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CUW6bAAAAA2wAAAA8AAAAAAAAAAAAAAAAA&#10;oQIAAGRycy9kb3ducmV2LnhtbFBLBQYAAAAABAAEAPkAAACOAwAAAAA=&#10;" strokecolor="black [3213]" strokeweight="1pt">
              <v:stroke endarrow="open"/>
              <v:shadow color="#eeece1 [3214]" opacity="49150f"/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Parentesi graffa aperta 14" o:spid="_x0000_s1039" type="#_x0000_t87" style="position:absolute;left:4089513;top:3522538;width:304800;height:2770187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HJcvwwAA&#10;ANsAAAAPAAAAZHJzL2Rvd25yZXYueG1sRE/fa8IwEH4X/B/CCXvT1DGnVKPIQOaQCauir0dzNsXm&#10;0jVZrfvrl8Fgb/fx/bzFqrOVaKnxpWMF41ECgjh3uuRCwfGwGc5A+ICssXJMCu7kYbXs9xaYanfj&#10;D2qzUIgYwj5FBSaEOpXS54Ys+pGriSN3cY3FEGFTSN3gLYbbSj4mybO0WHJsMFjTi6H8mn1ZBdv3&#10;62n6fd+bdjN9m1TZ7jxuP1+Vehh06zmIQF34F/+5tzrOf4LfX+IBcv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HJcvwwAAANsAAAAPAAAAAAAAAAAAAAAAAJcCAABkcnMvZG93&#10;bnJldi54bWxQSwUGAAAAAAQABAD1AAAAhwMAAAAA&#10;" adj="198" strokeweight=".25pt">
              <v:shadow on="t" opacity="24903f" origin=",.5" offset="0,.55556mm"/>
            </v:shape>
            <v:shape id="Connettore 2 15" o:spid="_x0000_s1040" type="#_x0000_t32" style="position:absolute;left:4241119;top:5060032;width:14287;height:2286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7p9FMAAAADbAAAADwAAAGRycy9kb3ducmV2LnhtbERPy6rCMBDdC/5DGOHuNFXxItUoKuh1&#10;IVx87YdmbIvNpDZRq19vBMHdHM5zxtPaFOJGlcstK+h2IhDEidU5pwoO+2V7CMJ5ZI2FZVLwIAfT&#10;SbMxxljbO2/ptvOpCCHsYlSQeV/GUrokI4OuY0viwJ1sZdAHWKVSV3gP4aaQvSj6lQZzDg0ZlrTI&#10;KDnvrkZBfz5/HtarzcL/Hf9p2zOX7r68KPXTqmcjEJ5q/xV/3Gsd5g/g/Us4QE5e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e6fRTAAAAA2wAAAA8AAAAAAAAAAAAAAAAA&#10;oQIAAGRycy9kb3ducmV2LnhtbFBLBQYAAAAABAAEAPkAAACOAwAAAAA=&#10;" strokecolor="black [3213]" strokeweight="1pt">
              <v:stroke endarrow="open"/>
              <v:shadow color="#eeece1 [3214]" opacity="49150f"/>
            </v:shape>
          </v:group>
        </w:pict>
      </w:r>
    </w:p>
    <w:sectPr w:rsidR="00E74DF5" w:rsidRPr="00AB0D04" w:rsidSect="00E27F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283"/>
  <w:characterSpacingControl w:val="doNotCompress"/>
  <w:compat/>
  <w:rsids>
    <w:rsidRoot w:val="00326E55"/>
    <w:rsid w:val="000D747D"/>
    <w:rsid w:val="001C64FA"/>
    <w:rsid w:val="00221C88"/>
    <w:rsid w:val="00326E55"/>
    <w:rsid w:val="003C631E"/>
    <w:rsid w:val="004D2EA5"/>
    <w:rsid w:val="005A32D9"/>
    <w:rsid w:val="006C6F4D"/>
    <w:rsid w:val="00702E81"/>
    <w:rsid w:val="007044B5"/>
    <w:rsid w:val="0071661D"/>
    <w:rsid w:val="00762815"/>
    <w:rsid w:val="00864444"/>
    <w:rsid w:val="00877E86"/>
    <w:rsid w:val="008C60FF"/>
    <w:rsid w:val="00A87334"/>
    <w:rsid w:val="00AB0D04"/>
    <w:rsid w:val="00BC0076"/>
    <w:rsid w:val="00C430CB"/>
    <w:rsid w:val="00D62D6B"/>
    <w:rsid w:val="00E27F66"/>
    <w:rsid w:val="00E74DF5"/>
    <w:rsid w:val="00EA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  <o:rules v:ext="edit">
        <o:r id="V:Rule6" type="connector" idref="#Connettore 2 9"/>
        <o:r id="V:Rule7" type="connector" idref="#Connettore 2 11"/>
        <o:r id="V:Rule8" type="connector" idref="#Connettore 2 10"/>
        <o:r id="V:Rule9" type="connector" idref="#Connettore 2 13"/>
        <o:r id="V:Rule10" type="connector" idref="#Connettore 2 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zh-C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E81"/>
    <w:rPr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4D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F5"/>
    <w:rPr>
      <w:rFonts w:ascii="Segoe UI" w:hAnsi="Segoe UI" w:cs="Segoe UI"/>
      <w:sz w:val="18"/>
      <w:szCs w:val="18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zh-C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2E81"/>
    <w:rPr>
      <w:lang w:val="en-US" w:eastAsia="en-US" w:bidi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74D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74DF5"/>
    <w:rPr>
      <w:rFonts w:ascii="Segoe UI" w:hAnsi="Segoe UI" w:cs="Segoe UI"/>
      <w:sz w:val="18"/>
      <w:szCs w:val="1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Pusceddu Dr. Irene</dc:creator>
  <cp:keywords/>
  <dc:description/>
  <cp:lastModifiedBy>0012588</cp:lastModifiedBy>
  <cp:revision>6</cp:revision>
  <dcterms:created xsi:type="dcterms:W3CDTF">2019-03-01T11:38:00Z</dcterms:created>
  <dcterms:modified xsi:type="dcterms:W3CDTF">2019-05-09T01:20:00Z</dcterms:modified>
</cp:coreProperties>
</file>